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A6" w:rsidRDefault="00BE19A6" w:rsidP="000B5065">
      <w:pPr>
        <w:spacing w:line="240" w:lineRule="auto"/>
      </w:pPr>
    </w:p>
    <w:p w:rsidR="00BE19A6" w:rsidRDefault="00BE19A6" w:rsidP="000B5065">
      <w:pPr>
        <w:spacing w:line="240" w:lineRule="auto"/>
      </w:pPr>
    </w:p>
    <w:p w:rsidR="00674AD8" w:rsidRDefault="00A37445" w:rsidP="000B5065">
      <w:pPr>
        <w:spacing w:line="240" w:lineRule="auto"/>
      </w:pPr>
      <w:r>
        <w:t>Spett.</w:t>
      </w:r>
      <w:r w:rsidR="00674AD8">
        <w:t xml:space="preserve"> Banca</w:t>
      </w:r>
    </w:p>
    <w:p w:rsidR="00632BE1" w:rsidRDefault="00632BE1" w:rsidP="000B5065">
      <w:pPr>
        <w:spacing w:line="240" w:lineRule="auto"/>
      </w:pPr>
    </w:p>
    <w:p w:rsidR="00674AD8" w:rsidRDefault="00632BE1" w:rsidP="00632BE1">
      <w:pPr>
        <w:spacing w:line="240" w:lineRule="auto"/>
        <w:rPr>
          <w:szCs w:val="22"/>
        </w:rPr>
      </w:pPr>
      <w:r>
        <w:rPr>
          <w:szCs w:val="22"/>
        </w:rPr>
        <w:t>INTESA SANPA</w:t>
      </w:r>
      <w:r>
        <w:rPr>
          <w:szCs w:val="22"/>
        </w:rPr>
        <w:t>O</w:t>
      </w:r>
      <w:r>
        <w:rPr>
          <w:szCs w:val="22"/>
        </w:rPr>
        <w:t>LO SPA</w:t>
      </w:r>
    </w:p>
    <w:p w:rsidR="00632BE1" w:rsidRDefault="00632BE1" w:rsidP="00632BE1">
      <w:pPr>
        <w:spacing w:line="240" w:lineRule="auto"/>
        <w:rPr>
          <w:szCs w:val="22"/>
        </w:rPr>
      </w:pPr>
      <w:r>
        <w:rPr>
          <w:szCs w:val="22"/>
        </w:rPr>
        <w:t>Piazza San Carlo, 156</w:t>
      </w:r>
    </w:p>
    <w:p w:rsidR="00632BE1" w:rsidRDefault="00632BE1" w:rsidP="00632BE1">
      <w:pPr>
        <w:spacing w:line="240" w:lineRule="auto"/>
        <w:rPr>
          <w:szCs w:val="22"/>
        </w:rPr>
      </w:pPr>
      <w:r>
        <w:rPr>
          <w:szCs w:val="22"/>
        </w:rPr>
        <w:t>10121 TORINO</w:t>
      </w:r>
    </w:p>
    <w:p w:rsidR="00632BE1" w:rsidRDefault="00632BE1" w:rsidP="00632BE1">
      <w:pPr>
        <w:spacing w:line="240" w:lineRule="auto"/>
        <w:rPr>
          <w:szCs w:val="22"/>
        </w:rPr>
      </w:pPr>
    </w:p>
    <w:p w:rsidR="00A859B7" w:rsidRPr="00EA564B" w:rsidRDefault="00A859B7" w:rsidP="00A859B7">
      <w:pPr>
        <w:spacing w:line="240" w:lineRule="auto"/>
      </w:pPr>
      <w:r>
        <w:rPr>
          <w:szCs w:val="22"/>
        </w:rPr>
        <w:t xml:space="preserve">Spett. </w:t>
      </w:r>
    </w:p>
    <w:p w:rsidR="00A859B7" w:rsidRDefault="00A859B7" w:rsidP="00632BE1">
      <w:pPr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  <w:r w:rsidRPr="00A859B7">
        <w:rPr>
          <w:b/>
          <w:szCs w:val="22"/>
        </w:rPr>
        <w:br/>
      </w:r>
      <w:r w:rsidR="00632BE1">
        <w:rPr>
          <w:szCs w:val="22"/>
        </w:rPr>
        <w:t>Cassa di Previdenza per Personale dell’Istituto Bancario San Paolo di Torino</w:t>
      </w:r>
    </w:p>
    <w:p w:rsidR="00632BE1" w:rsidRDefault="00632BE1" w:rsidP="00632BE1">
      <w:pPr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  <w:r>
        <w:rPr>
          <w:szCs w:val="22"/>
        </w:rPr>
        <w:t>P.za San Carlo, 156</w:t>
      </w:r>
    </w:p>
    <w:p w:rsidR="00632BE1" w:rsidRDefault="00632BE1" w:rsidP="00632BE1">
      <w:pPr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  <w:r>
        <w:rPr>
          <w:szCs w:val="22"/>
        </w:rPr>
        <w:t>10121 TORINO</w:t>
      </w:r>
    </w:p>
    <w:p w:rsidR="00632BE1" w:rsidRDefault="00632BE1" w:rsidP="00632BE1">
      <w:pPr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</w:p>
    <w:p w:rsidR="00632BE1" w:rsidRDefault="00632BE1" w:rsidP="00632BE1">
      <w:pPr>
        <w:spacing w:line="240" w:lineRule="auto"/>
      </w:pPr>
      <w:r>
        <w:t>Spett.</w:t>
      </w:r>
    </w:p>
    <w:p w:rsidR="00632BE1" w:rsidRPr="00BB107B" w:rsidRDefault="00632BE1" w:rsidP="00632BE1">
      <w:pPr>
        <w:spacing w:line="240" w:lineRule="auto"/>
        <w:rPr>
          <w:b/>
        </w:rPr>
      </w:pPr>
      <w:r w:rsidRPr="00BB107B">
        <w:rPr>
          <w:b/>
        </w:rPr>
        <w:t>INPS</w:t>
      </w:r>
    </w:p>
    <w:p w:rsidR="00632BE1" w:rsidRDefault="00632BE1" w:rsidP="00632BE1">
      <w:pPr>
        <w:spacing w:line="240" w:lineRule="auto"/>
      </w:pPr>
      <w:r>
        <w:t>(sede del luogo di reside</w:t>
      </w:r>
      <w:r>
        <w:t>n</w:t>
      </w:r>
      <w:r>
        <w:t>za)</w:t>
      </w:r>
    </w:p>
    <w:p w:rsidR="00632BE1" w:rsidRDefault="00632BE1" w:rsidP="00632BE1">
      <w:pPr>
        <w:spacing w:line="240" w:lineRule="auto"/>
      </w:pPr>
      <w:r>
        <w:t>_________________________</w:t>
      </w:r>
    </w:p>
    <w:p w:rsidR="00632BE1" w:rsidRDefault="00632BE1" w:rsidP="00632BE1">
      <w:pPr>
        <w:spacing w:line="240" w:lineRule="auto"/>
      </w:pPr>
      <w:r>
        <w:t>_________________________</w:t>
      </w:r>
    </w:p>
    <w:p w:rsidR="00632BE1" w:rsidRDefault="00632BE1" w:rsidP="00632BE1">
      <w:pPr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</w:p>
    <w:p w:rsidR="001D388C" w:rsidRDefault="00A859B7" w:rsidP="00632BE1">
      <w:pPr>
        <w:spacing w:line="240" w:lineRule="auto"/>
      </w:pPr>
      <w:r>
        <w:br w:type="column"/>
      </w:r>
    </w:p>
    <w:p w:rsidR="00A859B7" w:rsidRPr="00BE19A6" w:rsidRDefault="00BE19A6" w:rsidP="000B5065">
      <w:pPr>
        <w:spacing w:line="240" w:lineRule="auto"/>
        <w:rPr>
          <w:szCs w:val="22"/>
          <w:u w:val="single"/>
        </w:rPr>
        <w:sectPr w:rsidR="00A859B7" w:rsidRPr="00BE19A6" w:rsidSect="00A859B7">
          <w:type w:val="continuous"/>
          <w:pgSz w:w="11907" w:h="16834" w:code="9"/>
          <w:pgMar w:top="851" w:right="1701" w:bottom="284" w:left="1701" w:header="1015" w:footer="284" w:gutter="0"/>
          <w:cols w:num="2" w:space="454" w:equalWidth="0">
            <w:col w:w="3898" w:space="708"/>
            <w:col w:w="3898"/>
          </w:cols>
          <w:noEndnote/>
          <w:docGrid w:linePitch="299"/>
        </w:sectPr>
      </w:pPr>
      <w:r>
        <w:rPr>
          <w:szCs w:val="22"/>
        </w:rPr>
        <w:t xml:space="preserve">                       </w:t>
      </w:r>
      <w:r w:rsidR="001D70E1">
        <w:rPr>
          <w:szCs w:val="22"/>
          <w:u w:val="single"/>
        </w:rPr>
        <w:t>RACCOMANDATA A.R</w:t>
      </w:r>
    </w:p>
    <w:p w:rsidR="00EA564B" w:rsidRDefault="00EA564B" w:rsidP="001D70E1">
      <w:pPr>
        <w:spacing w:line="240" w:lineRule="auto"/>
        <w:sectPr w:rsidR="00EA564B" w:rsidSect="0081072A">
          <w:type w:val="continuous"/>
          <w:pgSz w:w="11907" w:h="16834" w:code="9"/>
          <w:pgMar w:top="851" w:right="1701" w:bottom="284" w:left="1701" w:header="1015" w:footer="284" w:gutter="0"/>
          <w:cols w:space="454"/>
          <w:noEndnote/>
          <w:docGrid w:linePitch="299"/>
        </w:sectPr>
      </w:pPr>
    </w:p>
    <w:p w:rsidR="000651F1" w:rsidRDefault="000651F1" w:rsidP="001D70E1">
      <w:pPr>
        <w:spacing w:line="240" w:lineRule="auto"/>
      </w:pPr>
    </w:p>
    <w:p w:rsidR="001F514D" w:rsidRDefault="00120A9C" w:rsidP="000B5065">
      <w:pPr>
        <w:spacing w:line="240" w:lineRule="auto"/>
        <w:ind w:firstLine="284"/>
      </w:pPr>
      <w:r>
        <w:t xml:space="preserve">L’ esponente </w:t>
      </w:r>
      <w:r w:rsidR="00A37445">
        <w:t xml:space="preserve">è titolare di </w:t>
      </w:r>
      <w:r w:rsidR="00DE5775">
        <w:t>trattamento pensionistico relativo ad ex Enti Pubblici Creditizi, r</w:t>
      </w:r>
      <w:r w:rsidR="00DE5775">
        <w:t>e</w:t>
      </w:r>
      <w:r w:rsidR="00DE5775">
        <w:t>gol</w:t>
      </w:r>
      <w:r w:rsidR="00DE5775">
        <w:t>a</w:t>
      </w:r>
      <w:r w:rsidR="00DE5775">
        <w:t>to dal Decr. Leg.vo 357/90.</w:t>
      </w:r>
    </w:p>
    <w:p w:rsidR="001B18FF" w:rsidRDefault="00DE5775" w:rsidP="000B5065">
      <w:pPr>
        <w:spacing w:line="240" w:lineRule="auto"/>
        <w:ind w:firstLine="284"/>
      </w:pPr>
      <w:r>
        <w:t xml:space="preserve">Il suddetto trattamento </w:t>
      </w:r>
      <w:r w:rsidR="00A267B2">
        <w:t>fino al 31 dicembre 2012 è stat</w:t>
      </w:r>
      <w:r w:rsidR="00343783">
        <w:t>o</w:t>
      </w:r>
      <w:r w:rsidR="001B18FF">
        <w:t xml:space="preserve"> articolato in due quote, entrambe </w:t>
      </w:r>
      <w:r w:rsidR="001B18FF">
        <w:t>e</w:t>
      </w:r>
      <w:r w:rsidR="001B18FF">
        <w:t xml:space="preserve">rogate dalla </w:t>
      </w:r>
      <w:r w:rsidR="002B5E19">
        <w:t xml:space="preserve">Banca, </w:t>
      </w:r>
      <w:r w:rsidR="00A8327E">
        <w:t>in forza dell’ art. 6 del Decr. Leg.vo 357/90 e della Convenzione stipulata fra l’ INPS e i relativi Fondi in data 15 febbraio ’99. Tale Gestione Speciale è stata poi soppre</w:t>
      </w:r>
      <w:r w:rsidR="00A8327E">
        <w:t>s</w:t>
      </w:r>
      <w:r w:rsidR="00A8327E">
        <w:t>sa con D.M. 12 dice</w:t>
      </w:r>
      <w:r w:rsidR="00A8327E">
        <w:t>m</w:t>
      </w:r>
      <w:r w:rsidR="00A8327E">
        <w:t>bre 2012 (G.U. 10/5/13 n. 108).</w:t>
      </w:r>
    </w:p>
    <w:p w:rsidR="00965CDD" w:rsidRPr="003F38E7" w:rsidRDefault="00A8327E" w:rsidP="000B5065">
      <w:pPr>
        <w:spacing w:line="240" w:lineRule="auto"/>
        <w:ind w:firstLine="284"/>
      </w:pPr>
      <w:r>
        <w:t xml:space="preserve">Per la </w:t>
      </w:r>
      <w:r w:rsidR="002B5E19">
        <w:t xml:space="preserve">quota a carico della </w:t>
      </w:r>
      <w:r w:rsidR="00A267B2">
        <w:t xml:space="preserve">Gestione Speciale </w:t>
      </w:r>
      <w:r w:rsidR="00DE5775">
        <w:t>INPS</w:t>
      </w:r>
      <w:r w:rsidR="00F524FD">
        <w:t xml:space="preserve"> </w:t>
      </w:r>
      <w:r w:rsidR="00F905E1">
        <w:t xml:space="preserve">alla obbligazione della Banca si aggiunge </w:t>
      </w:r>
      <w:r w:rsidR="002A62DC">
        <w:t xml:space="preserve">ovviamente </w:t>
      </w:r>
      <w:r w:rsidR="001F514D">
        <w:t xml:space="preserve">la </w:t>
      </w:r>
      <w:r w:rsidR="00F905E1">
        <w:t xml:space="preserve">responsabilità </w:t>
      </w:r>
      <w:r w:rsidR="001F514D">
        <w:t xml:space="preserve">solidale dell’ INPS, atteso che la Banca pagava </w:t>
      </w:r>
      <w:r w:rsidR="001F514D" w:rsidRPr="001F514D">
        <w:rPr>
          <w:i/>
        </w:rPr>
        <w:t>“per conto dell'I.N.P.S.”</w:t>
      </w:r>
      <w:r w:rsidR="003F38E7">
        <w:t>(art. 1, comma 1, della citata Co</w:t>
      </w:r>
      <w:r w:rsidR="003F38E7">
        <w:t>n</w:t>
      </w:r>
      <w:r w:rsidR="003F38E7">
        <w:t>venzione).</w:t>
      </w:r>
    </w:p>
    <w:p w:rsidR="000879A2" w:rsidRDefault="00BB107B" w:rsidP="000C23CD">
      <w:pPr>
        <w:spacing w:line="240" w:lineRule="auto"/>
        <w:ind w:firstLine="284"/>
      </w:pPr>
      <w:r>
        <w:t xml:space="preserve">La quota integrativa è invece attualmente a carico </w:t>
      </w:r>
      <w:r w:rsidR="000C23CD">
        <w:t xml:space="preserve">di codesto Fondo, </w:t>
      </w:r>
      <w:r>
        <w:t>le cui obbligazioni s</w:t>
      </w:r>
      <w:r>
        <w:t>o</w:t>
      </w:r>
      <w:r>
        <w:t xml:space="preserve">no </w:t>
      </w:r>
      <w:r w:rsidR="009057CD">
        <w:t xml:space="preserve">comunque </w:t>
      </w:r>
      <w:r>
        <w:t xml:space="preserve">solidalmente garantite </w:t>
      </w:r>
      <w:r w:rsidR="009057CD">
        <w:t>da</w:t>
      </w:r>
      <w:r w:rsidR="000C23CD">
        <w:t>lla Banca</w:t>
      </w:r>
      <w:r w:rsidR="009057CD">
        <w:t>.</w:t>
      </w:r>
    </w:p>
    <w:p w:rsidR="0086595F" w:rsidRDefault="00120A9C" w:rsidP="000B5065">
      <w:pPr>
        <w:spacing w:line="240" w:lineRule="auto"/>
        <w:ind w:firstLine="284"/>
      </w:pPr>
      <w:r>
        <w:t xml:space="preserve">Il trattamento pensionistico </w:t>
      </w:r>
      <w:r w:rsidR="006A35A0">
        <w:t xml:space="preserve">complessivo </w:t>
      </w:r>
      <w:r>
        <w:t xml:space="preserve">dell’ esponente </w:t>
      </w:r>
      <w:r w:rsidR="00C01111">
        <w:t>era</w:t>
      </w:r>
      <w:r>
        <w:t xml:space="preserve"> </w:t>
      </w:r>
      <w:r w:rsidR="00C34034">
        <w:t xml:space="preserve">di </w:t>
      </w:r>
      <w:r>
        <w:t xml:space="preserve">importo </w:t>
      </w:r>
      <w:r w:rsidR="00C34034">
        <w:t xml:space="preserve">superiore nel 2012 ad Euro </w:t>
      </w:r>
      <w:r w:rsidR="00C34034" w:rsidRPr="008B6756">
        <w:t>€ 1.405,05</w:t>
      </w:r>
      <w:r w:rsidR="00C34034">
        <w:t xml:space="preserve"> lordi</w:t>
      </w:r>
      <w:r>
        <w:t xml:space="preserve"> e nel 2013</w:t>
      </w:r>
      <w:r w:rsidR="009043A4">
        <w:t xml:space="preserve"> ad € 1.443.00)</w:t>
      </w:r>
      <w:r w:rsidR="00C34034">
        <w:t>, e quindi ha</w:t>
      </w:r>
      <w:r w:rsidR="009043A4">
        <w:t xml:space="preserve"> </w:t>
      </w:r>
      <w:r w:rsidR="00C34034">
        <w:t>subito il blocco de</w:t>
      </w:r>
      <w:r w:rsidR="00C34034">
        <w:t>l</w:t>
      </w:r>
      <w:r w:rsidR="00C34034">
        <w:t xml:space="preserve">la perequazione automatica in forza del </w:t>
      </w:r>
      <w:r w:rsidR="00C34034" w:rsidRPr="008B6756">
        <w:t>D.L. 6 dicembre 2011 n. 201, convertito nella legge 22 dicembre</w:t>
      </w:r>
      <w:r w:rsidR="00C34034">
        <w:t xml:space="preserve"> 2011 n. 214, art. 24, co</w:t>
      </w:r>
      <w:r w:rsidR="00C34034">
        <w:t>m</w:t>
      </w:r>
      <w:r w:rsidR="00C34034">
        <w:t>ma 25.</w:t>
      </w:r>
    </w:p>
    <w:p w:rsidR="0086595F" w:rsidRDefault="0086595F" w:rsidP="000B5065">
      <w:pPr>
        <w:spacing w:line="240" w:lineRule="auto"/>
        <w:ind w:firstLine="284"/>
      </w:pPr>
      <w:r>
        <w:t>L</w:t>
      </w:r>
      <w:r w:rsidR="00C34034">
        <w:t xml:space="preserve">a suddetta norma è stata dichiarata </w:t>
      </w:r>
      <w:r w:rsidR="006C57CF">
        <w:t xml:space="preserve">costituzionalmente </w:t>
      </w:r>
      <w:r w:rsidR="00C34034">
        <w:t xml:space="preserve">illegittima </w:t>
      </w:r>
      <w:r w:rsidR="006C57CF">
        <w:t xml:space="preserve">con la nota </w:t>
      </w:r>
      <w:r w:rsidR="00C34034">
        <w:t>se</w:t>
      </w:r>
      <w:r w:rsidR="00C34034">
        <w:t>n</w:t>
      </w:r>
      <w:r w:rsidR="006C57CF">
        <w:t>tenza n. 70 del 30 aprile 2015 della Corte Costituzionale.</w:t>
      </w:r>
    </w:p>
    <w:p w:rsidR="001537B7" w:rsidRDefault="0086595F" w:rsidP="000B5065">
      <w:pPr>
        <w:spacing w:line="240" w:lineRule="auto"/>
        <w:ind w:firstLine="284"/>
      </w:pPr>
      <w:r>
        <w:t>A seguito della sentenza suddetta il Governo ha emanato il D.L. 21 maggio 2015 n. 65, che ha ridotto enormemente e spesso addirittura escluso gli aumenti e gli arretrati spetta</w:t>
      </w:r>
      <w:r>
        <w:t>n</w:t>
      </w:r>
      <w:r>
        <w:t>ti.</w:t>
      </w:r>
    </w:p>
    <w:p w:rsidR="0086595F" w:rsidRDefault="001537B7" w:rsidP="000B5065">
      <w:pPr>
        <w:spacing w:line="240" w:lineRule="auto"/>
        <w:ind w:firstLine="284"/>
      </w:pPr>
      <w:r>
        <w:t>I</w:t>
      </w:r>
      <w:r w:rsidR="0086595F">
        <w:t xml:space="preserve">l suddetto Decreto Legge è </w:t>
      </w:r>
      <w:r w:rsidR="002C090C">
        <w:t xml:space="preserve">manifestamente </w:t>
      </w:r>
      <w:r w:rsidR="00D335A8">
        <w:t xml:space="preserve">illegittimo per </w:t>
      </w:r>
      <w:r w:rsidR="002C090C">
        <w:t xml:space="preserve">violazione della </w:t>
      </w:r>
      <w:r w:rsidR="0086595F">
        <w:t xml:space="preserve">sentenza n. 70/2015 della Corte, e comunque </w:t>
      </w:r>
      <w:r>
        <w:t xml:space="preserve">è </w:t>
      </w:r>
      <w:r w:rsidR="0086595F">
        <w:t>in contrasto con i seguenti articoli della Costituzione: art. 136 (efficacia delle sentenze della Corte), art. 36 (diritto alla giusta retribuzione)</w:t>
      </w:r>
      <w:r w:rsidR="00693939">
        <w:t xml:space="preserve">, e </w:t>
      </w:r>
      <w:r w:rsidR="0086595F">
        <w:t>art. 38 (diri</w:t>
      </w:r>
      <w:r w:rsidR="0086595F">
        <w:t>t</w:t>
      </w:r>
      <w:r w:rsidR="0086595F">
        <w:t>to alla adeguatezza della pen</w:t>
      </w:r>
      <w:r w:rsidR="00693939">
        <w:t>sione), cui va aggiunto</w:t>
      </w:r>
      <w:r w:rsidR="002C090C">
        <w:t>,</w:t>
      </w:r>
      <w:r w:rsidR="00693939">
        <w:t xml:space="preserve"> per la </w:t>
      </w:r>
      <w:r w:rsidR="002C090C">
        <w:t xml:space="preserve">sola </w:t>
      </w:r>
      <w:r w:rsidR="00693939">
        <w:t>quota integrativa</w:t>
      </w:r>
      <w:r w:rsidR="002C090C">
        <w:t>,</w:t>
      </w:r>
      <w:r w:rsidR="00693939">
        <w:t xml:space="preserve"> l’ art. 47 (tut</w:t>
      </w:r>
      <w:r w:rsidR="00693939">
        <w:t>e</w:t>
      </w:r>
      <w:r w:rsidR="00693939">
        <w:t>la del rispa</w:t>
      </w:r>
      <w:r w:rsidR="00693939">
        <w:t>r</w:t>
      </w:r>
      <w:r w:rsidR="00693939">
        <w:t>mio).</w:t>
      </w:r>
    </w:p>
    <w:p w:rsidR="0012378E" w:rsidRDefault="00D335A8" w:rsidP="000B5065">
      <w:pPr>
        <w:spacing w:line="240" w:lineRule="auto"/>
        <w:ind w:firstLine="284"/>
      </w:pPr>
      <w:r>
        <w:t xml:space="preserve">In ogni caso il Decreto Legge è del tutto estraneo </w:t>
      </w:r>
      <w:r w:rsidR="00E13853">
        <w:t xml:space="preserve">ed inapplicabile rispetto </w:t>
      </w:r>
      <w:r>
        <w:t>ai diritti de</w:t>
      </w:r>
      <w:r w:rsidR="00C266F6">
        <w:t>i pe</w:t>
      </w:r>
      <w:r w:rsidR="00C266F6">
        <w:t>n</w:t>
      </w:r>
      <w:r w:rsidR="00C266F6">
        <w:t xml:space="preserve">sionati </w:t>
      </w:r>
      <w:r>
        <w:t xml:space="preserve">relativi alla </w:t>
      </w:r>
      <w:r w:rsidR="00C266F6">
        <w:rPr>
          <w:u w:val="single"/>
        </w:rPr>
        <w:t xml:space="preserve">pensione </w:t>
      </w:r>
      <w:r w:rsidRPr="00E13853">
        <w:rPr>
          <w:u w:val="single"/>
        </w:rPr>
        <w:t>integrativ</w:t>
      </w:r>
      <w:r w:rsidR="00E13853">
        <w:rPr>
          <w:u w:val="single"/>
        </w:rPr>
        <w:t>a</w:t>
      </w:r>
      <w:r w:rsidR="00E13853" w:rsidRPr="00E13853">
        <w:t xml:space="preserve">, </w:t>
      </w:r>
      <w:r>
        <w:t xml:space="preserve">essendo </w:t>
      </w:r>
      <w:r w:rsidR="00C266F6">
        <w:t xml:space="preserve">stato </w:t>
      </w:r>
      <w:r w:rsidR="008726D1">
        <w:t xml:space="preserve">emanato </w:t>
      </w:r>
      <w:r w:rsidR="00C266F6">
        <w:t xml:space="preserve">dichiaratamente </w:t>
      </w:r>
      <w:r w:rsidR="008726D1" w:rsidRPr="008726D1">
        <w:rPr>
          <w:i/>
        </w:rPr>
        <w:t>“nel rispetto del principio de</w:t>
      </w:r>
      <w:r w:rsidR="008726D1" w:rsidRPr="008726D1">
        <w:rPr>
          <w:i/>
        </w:rPr>
        <w:t>l</w:t>
      </w:r>
      <w:r w:rsidR="008726D1" w:rsidRPr="008726D1">
        <w:rPr>
          <w:i/>
        </w:rPr>
        <w:t>l'equilibrio di bilancio e degli obiettivi di finanza pubblica”</w:t>
      </w:r>
      <w:r w:rsidR="00E13853">
        <w:t>, e quindi per la sola tutela del b</w:t>
      </w:r>
      <w:r w:rsidR="00E13853">
        <w:t>i</w:t>
      </w:r>
      <w:r w:rsidR="00E13853">
        <w:t xml:space="preserve">lancio pubblico e non </w:t>
      </w:r>
      <w:r w:rsidR="00C266F6">
        <w:t xml:space="preserve">certo </w:t>
      </w:r>
      <w:r w:rsidR="00E13853">
        <w:t>di quello privato.</w:t>
      </w:r>
    </w:p>
    <w:p w:rsidR="0012378E" w:rsidRDefault="0012378E" w:rsidP="000B5065">
      <w:pPr>
        <w:spacing w:line="240" w:lineRule="auto"/>
        <w:ind w:firstLine="284"/>
      </w:pPr>
    </w:p>
    <w:p w:rsidR="0086595F" w:rsidRDefault="0086595F" w:rsidP="000B5065">
      <w:pPr>
        <w:spacing w:line="240" w:lineRule="auto"/>
        <w:ind w:firstLine="284"/>
      </w:pPr>
      <w:r>
        <w:t xml:space="preserve">Si invita quindi formalmente </w:t>
      </w:r>
      <w:r w:rsidR="00BF314C">
        <w:t xml:space="preserve">l’ INPS (in solido con la </w:t>
      </w:r>
      <w:r w:rsidR="000C23CD">
        <w:t>Banca</w:t>
      </w:r>
      <w:r w:rsidR="00BF314C">
        <w:t>)</w:t>
      </w:r>
      <w:r>
        <w:t xml:space="preserve"> a:</w:t>
      </w:r>
    </w:p>
    <w:p w:rsidR="0086595F" w:rsidRDefault="0086595F" w:rsidP="000B5065">
      <w:pPr>
        <w:numPr>
          <w:ilvl w:val="0"/>
          <w:numId w:val="1"/>
        </w:numPr>
        <w:spacing w:line="240" w:lineRule="auto"/>
      </w:pPr>
      <w:r>
        <w:t xml:space="preserve">Ripristinare sulla pensione mensile </w:t>
      </w:r>
      <w:r w:rsidR="00BF314C">
        <w:t xml:space="preserve">dell’ esponente </w:t>
      </w:r>
      <w:r>
        <w:t>la perequazione illegittimamente bloccata per gli anni 2012 e 2013;</w:t>
      </w:r>
    </w:p>
    <w:p w:rsidR="0086595F" w:rsidRDefault="0086595F" w:rsidP="000B5065">
      <w:pPr>
        <w:numPr>
          <w:ilvl w:val="0"/>
          <w:numId w:val="1"/>
        </w:numPr>
        <w:spacing w:line="240" w:lineRule="auto"/>
      </w:pPr>
      <w:r>
        <w:t>Restituire gli arretrati dalle singole scadenze, maggiorati degli intere</w:t>
      </w:r>
      <w:r>
        <w:t>s</w:t>
      </w:r>
      <w:r>
        <w:t>si legali.</w:t>
      </w:r>
    </w:p>
    <w:p w:rsidR="008421C6" w:rsidRDefault="008421C6" w:rsidP="000B5065">
      <w:pPr>
        <w:spacing w:line="240" w:lineRule="auto"/>
      </w:pPr>
    </w:p>
    <w:p w:rsidR="001272CB" w:rsidRDefault="008421C6" w:rsidP="000B5065">
      <w:pPr>
        <w:spacing w:line="240" w:lineRule="auto"/>
        <w:ind w:firstLine="284"/>
      </w:pPr>
      <w:r>
        <w:t xml:space="preserve">Si invita inoltre </w:t>
      </w:r>
      <w:r w:rsidR="000C23CD">
        <w:t xml:space="preserve">la Banca </w:t>
      </w:r>
      <w:r>
        <w:t>ed il Fondo Pensioni</w:t>
      </w:r>
      <w:r w:rsidR="003F1263">
        <w:t>, in solido fra loro,</w:t>
      </w:r>
      <w:r w:rsidR="00C34034">
        <w:t xml:space="preserve"> a</w:t>
      </w:r>
      <w:r w:rsidR="001272CB">
        <w:t xml:space="preserve"> provvedere allo stesso modo sulla pensione integrativa, tenendo presente in ogni caso la estraneità del D.L. 65/15, ed aggiungendo altresì</w:t>
      </w:r>
      <w:r w:rsidR="00D33E58">
        <w:t>,</w:t>
      </w:r>
      <w:r w:rsidR="001272CB">
        <w:t xml:space="preserve"> oltre agli interessi legali, la rivalutazione monetaria ex art. 429 c.p.c.</w:t>
      </w:r>
    </w:p>
    <w:p w:rsidR="001272CB" w:rsidRDefault="001272CB" w:rsidP="000B5065">
      <w:pPr>
        <w:spacing w:line="240" w:lineRule="auto"/>
        <w:ind w:firstLine="284"/>
      </w:pPr>
    </w:p>
    <w:p w:rsidR="0013782A" w:rsidRDefault="00A12A43" w:rsidP="0013782A">
      <w:pPr>
        <w:spacing w:line="240" w:lineRule="auto"/>
        <w:ind w:firstLine="284"/>
      </w:pPr>
      <w:r>
        <w:lastRenderedPageBreak/>
        <w:t>Infine si evidenzia la assoluta irrilevanza delle decisioni che vorrà assumere il Casellario Centrale delle Pensioni istituito presso l’ INPS</w:t>
      </w:r>
      <w:r w:rsidR="000C23CD">
        <w:t xml:space="preserve"> (</w:t>
      </w:r>
      <w:r w:rsidR="000E7641">
        <w:t>che notoriamente è sfornito di poteri autoritat</w:t>
      </w:r>
      <w:r w:rsidR="000E7641">
        <w:t>i</w:t>
      </w:r>
      <w:r w:rsidR="000E7641">
        <w:t>vi</w:t>
      </w:r>
      <w:r w:rsidR="000C23CD">
        <w:t>)</w:t>
      </w:r>
      <w:r w:rsidR="000E7641">
        <w:t xml:space="preserve">, poiché la determinazione dell’ indice base della perequazione è demandata </w:t>
      </w:r>
      <w:r w:rsidR="003827EF">
        <w:t>dalla legge solo all’</w:t>
      </w:r>
      <w:r w:rsidR="000E7641">
        <w:t>a</w:t>
      </w:r>
      <w:r w:rsidR="000E7641">
        <w:t>p</w:t>
      </w:r>
      <w:r w:rsidR="000E7641">
        <w:t xml:space="preserve">posito Decreto Ministeriale annuale, che è stato già emanato in via definitiva per gli anni </w:t>
      </w:r>
      <w:r w:rsidR="002D6634">
        <w:t xml:space="preserve">in questione </w:t>
      </w:r>
      <w:r w:rsidR="000E7641">
        <w:t>2012 (D.M. 26.11.12) e 2013 (D.M. 29.11.13)</w:t>
      </w:r>
      <w:r w:rsidR="000953D9">
        <w:t>.</w:t>
      </w:r>
    </w:p>
    <w:p w:rsidR="00300E23" w:rsidRDefault="000B5065" w:rsidP="00300E23">
      <w:pPr>
        <w:spacing w:line="240" w:lineRule="auto"/>
        <w:ind w:firstLine="284"/>
      </w:pPr>
      <w:r w:rsidRPr="000B5065">
        <w:t xml:space="preserve">Con l’ occasione l’ esponente richiede altresì </w:t>
      </w:r>
      <w:r w:rsidR="002D6634">
        <w:t xml:space="preserve">il pagamento della </w:t>
      </w:r>
      <w:r w:rsidRPr="000B5065">
        <w:t>perequazione non erogata nel 2008 e nel 2014</w:t>
      </w:r>
      <w:r w:rsidR="0013782A">
        <w:t xml:space="preserve"> per la </w:t>
      </w:r>
      <w:r w:rsidR="0013782A" w:rsidRPr="0013782A">
        <w:rPr>
          <w:u w:val="single"/>
        </w:rPr>
        <w:t>pensione integrativa</w:t>
      </w:r>
      <w:r w:rsidR="0013782A">
        <w:t xml:space="preserve">, </w:t>
      </w:r>
      <w:r w:rsidRPr="000B5065">
        <w:t>poiché i blocchi della perequazione non sono estensibili alla previdenza complementare</w:t>
      </w:r>
      <w:r w:rsidR="0013782A">
        <w:t>,</w:t>
      </w:r>
      <w:r w:rsidRPr="000B5065">
        <w:t xml:space="preserve"> anche sotto il profilo della l</w:t>
      </w:r>
      <w:r w:rsidRPr="000B5065">
        <w:t>e</w:t>
      </w:r>
      <w:r w:rsidRPr="000B5065">
        <w:t>gittimità costituzionale (artt. 3</w:t>
      </w:r>
      <w:r w:rsidR="00300E23">
        <w:t>6, 38 e 47 della Costituzione).</w:t>
      </w:r>
    </w:p>
    <w:p w:rsidR="00300E23" w:rsidRDefault="00300E23" w:rsidP="00300E23">
      <w:pPr>
        <w:spacing w:line="240" w:lineRule="auto"/>
        <w:ind w:firstLine="284"/>
      </w:pPr>
      <w:r>
        <w:t>La presente vale ad ogni effetto di legge, anche ai fini della domanda amministrativa all’INPS, peraltro da ritenersi non necessaria poiché in questo caso non vi è da integrare la d</w:t>
      </w:r>
      <w:r>
        <w:t>o</w:t>
      </w:r>
      <w:r>
        <w:t xml:space="preserve">cumentazione personale, ma occorre solo </w:t>
      </w:r>
      <w:r w:rsidRPr="003827EF">
        <w:t>sollecitare</w:t>
      </w:r>
      <w:r>
        <w:t xml:space="preserve"> il ricalcolo di quanto già erogato (Cass. 20892/07, nonché Cass. Sezioni Unite 18 luglio 1996 n. 6491).</w:t>
      </w:r>
    </w:p>
    <w:p w:rsidR="00300E23" w:rsidRDefault="00300E23" w:rsidP="00300E23">
      <w:pPr>
        <w:spacing w:line="240" w:lineRule="auto"/>
        <w:ind w:firstLine="284"/>
      </w:pPr>
    </w:p>
    <w:p w:rsidR="00167446" w:rsidRDefault="00300E23" w:rsidP="00167446">
      <w:pPr>
        <w:spacing w:line="240" w:lineRule="auto"/>
        <w:ind w:firstLine="284"/>
      </w:pPr>
      <w:r>
        <w:t>In ogni caso la presente vale ai fini interruttivi della prescrizione nei confronti di tutte le parti obbligate, ciascuna per quanto di sua competenza.</w:t>
      </w:r>
    </w:p>
    <w:p w:rsidR="00167446" w:rsidRDefault="00AA222D" w:rsidP="00167446">
      <w:pPr>
        <w:spacing w:line="240" w:lineRule="auto"/>
        <w:ind w:firstLine="284"/>
      </w:pPr>
      <w:r>
        <w:t xml:space="preserve">In difetto </w:t>
      </w:r>
      <w:r w:rsidR="00167446">
        <w:t xml:space="preserve">di pagamento si </w:t>
      </w:r>
      <w:r>
        <w:t>dovr</w:t>
      </w:r>
      <w:r w:rsidR="00167446">
        <w:t xml:space="preserve">à </w:t>
      </w:r>
      <w:r>
        <w:t>provvedere nei termini di legge.</w:t>
      </w:r>
    </w:p>
    <w:p w:rsidR="00AA222D" w:rsidRDefault="00AA222D" w:rsidP="00167446">
      <w:pPr>
        <w:spacing w:line="240" w:lineRule="auto"/>
        <w:ind w:firstLine="284"/>
      </w:pPr>
      <w:r>
        <w:t>Distinti saluti</w:t>
      </w:r>
    </w:p>
    <w:p w:rsidR="00167446" w:rsidRDefault="00167446" w:rsidP="00167446">
      <w:pPr>
        <w:spacing w:line="240" w:lineRule="auto"/>
        <w:ind w:firstLine="284"/>
      </w:pPr>
    </w:p>
    <w:p w:rsidR="00632BE1" w:rsidRDefault="00632BE1" w:rsidP="00167446">
      <w:pPr>
        <w:spacing w:line="240" w:lineRule="auto"/>
        <w:ind w:firstLine="284"/>
      </w:pPr>
    </w:p>
    <w:p w:rsidR="00A75865" w:rsidRDefault="00A75865" w:rsidP="000B5065">
      <w:r w:rsidRPr="00A75865">
        <w:t>Cognome e nome ______________________________________________</w:t>
      </w:r>
      <w:r>
        <w:t>________________</w:t>
      </w:r>
    </w:p>
    <w:p w:rsidR="00AF63D7" w:rsidRDefault="00A75865" w:rsidP="001D70E1">
      <w:r>
        <w:t>matr. pens.</w:t>
      </w:r>
      <w:r w:rsidR="00AF63D7">
        <w:t xml:space="preserve"> INPS </w:t>
      </w:r>
      <w:r w:rsidR="001D70E1">
        <w:t xml:space="preserve">___________       </w:t>
      </w:r>
      <w:r w:rsidR="00632BE1">
        <w:t xml:space="preserve">matr. pens. Cassa </w:t>
      </w:r>
      <w:r w:rsidR="00BE19A6">
        <w:t xml:space="preserve">Previdenza </w:t>
      </w:r>
      <w:r w:rsidR="001D70E1">
        <w:t>identificativo cid__________</w:t>
      </w:r>
    </w:p>
    <w:p w:rsidR="00A75865" w:rsidRDefault="00A75865" w:rsidP="000B5065">
      <w:r w:rsidRPr="00A75865">
        <w:t>Nato/a il:</w:t>
      </w:r>
      <w:r w:rsidR="002C090C">
        <w:t xml:space="preserve"> </w:t>
      </w:r>
      <w:r w:rsidRPr="00A75865">
        <w:t>____/____/______</w:t>
      </w:r>
      <w:r w:rsidR="002C090C">
        <w:t xml:space="preserve"> </w:t>
      </w:r>
      <w:r w:rsidRPr="00A75865">
        <w:t>a:</w:t>
      </w:r>
      <w:r w:rsidR="002C090C">
        <w:t xml:space="preserve"> </w:t>
      </w:r>
      <w:r w:rsidRPr="00A75865">
        <w:t>_______</w:t>
      </w:r>
      <w:r>
        <w:t>____________________________</w:t>
      </w:r>
      <w:r w:rsidR="002C090C">
        <w:t xml:space="preserve"> </w:t>
      </w:r>
      <w:r w:rsidR="001D70E1">
        <w:t>prov.</w:t>
      </w:r>
      <w:r w:rsidR="002C090C">
        <w:t xml:space="preserve"> </w:t>
      </w:r>
      <w:r w:rsidRPr="00A75865">
        <w:t>_____</w:t>
      </w:r>
      <w:r w:rsidR="00AF63D7">
        <w:t>___</w:t>
      </w:r>
      <w:r w:rsidRPr="00A75865">
        <w:t>___</w:t>
      </w:r>
    </w:p>
    <w:p w:rsidR="001D70E1" w:rsidRPr="00A75865" w:rsidRDefault="001D70E1" w:rsidP="000B5065">
      <w:r>
        <w:t>Codice fiscale_________________________________________________________________</w:t>
      </w:r>
    </w:p>
    <w:p w:rsidR="00A75865" w:rsidRPr="00A75865" w:rsidRDefault="00A75865" w:rsidP="000B5065">
      <w:r w:rsidRPr="00A75865">
        <w:t>Indirizzo _______________________________________________________</w:t>
      </w:r>
      <w:r>
        <w:t>______________</w:t>
      </w:r>
    </w:p>
    <w:p w:rsidR="00A75865" w:rsidRPr="00A75865" w:rsidRDefault="00A75865" w:rsidP="000B5065">
      <w:r w:rsidRPr="00A75865">
        <w:t>Comune di residenza</w:t>
      </w:r>
      <w:r w:rsidR="001D70E1">
        <w:t xml:space="preserve"> _______________________ cap________   prov. __________________</w:t>
      </w:r>
    </w:p>
    <w:p w:rsidR="00AF63D7" w:rsidRDefault="00A75865" w:rsidP="00AF63D7">
      <w:pPr>
        <w:jc w:val="center"/>
        <w:rPr>
          <w:rFonts w:ascii="Lucida Sans Unicode" w:hAnsi="Lucida Sans Unicode" w:cs="Lucida Sans Unicode"/>
          <w:sz w:val="20"/>
        </w:rPr>
      </w:pPr>
      <w:r w:rsidRPr="00A75865">
        <w:t>Tel._______________________________</w:t>
      </w:r>
      <w:r w:rsidRPr="00A75865">
        <w:rPr>
          <w:rFonts w:ascii="Lucida Sans Unicode" w:hAnsi="Lucida Sans Unicode" w:cs="Lucida Sans Unicode"/>
          <w:sz w:val="20"/>
        </w:rPr>
        <w:t xml:space="preserve"> </w:t>
      </w:r>
      <w:r w:rsidR="00AF63D7">
        <w:rPr>
          <w:rFonts w:ascii="Lucida Sans Unicode" w:hAnsi="Lucida Sans Unicode" w:cs="Lucida Sans Unicode"/>
          <w:sz w:val="20"/>
        </w:rPr>
        <w:t xml:space="preserve">             </w:t>
      </w:r>
      <w:r w:rsidR="00AF63D7">
        <w:t>Cel</w:t>
      </w:r>
      <w:r w:rsidR="00AF63D7" w:rsidRPr="00A75865">
        <w:t>l._______________________________</w:t>
      </w:r>
    </w:p>
    <w:p w:rsidR="00A75865" w:rsidRPr="00A75865" w:rsidRDefault="00A75865" w:rsidP="000B5065">
      <w:r w:rsidRPr="00A75865">
        <w:t>e-mail: ___________</w:t>
      </w:r>
      <w:r>
        <w:t>________________________</w:t>
      </w:r>
    </w:p>
    <w:p w:rsidR="00A75865" w:rsidRDefault="00A75865" w:rsidP="000B5065">
      <w:r w:rsidRPr="00A75865">
        <w:t>Data ______________________________</w:t>
      </w:r>
    </w:p>
    <w:p w:rsidR="00513CE7" w:rsidRPr="00A75865" w:rsidRDefault="00513CE7" w:rsidP="000B5065"/>
    <w:p w:rsidR="00A75865" w:rsidRPr="00A75865" w:rsidRDefault="00A75865" w:rsidP="00632BE1">
      <w:pPr>
        <w:ind w:left="3692"/>
        <w:jc w:val="center"/>
      </w:pPr>
      <w:r w:rsidRPr="00A75865">
        <w:t>Firma ____________________________________</w:t>
      </w:r>
    </w:p>
    <w:sectPr w:rsidR="00A75865" w:rsidRPr="00A75865">
      <w:type w:val="continuous"/>
      <w:pgSz w:w="11907" w:h="16834" w:code="9"/>
      <w:pgMar w:top="851" w:right="1701" w:bottom="284" w:left="1701" w:header="1015" w:footer="28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8F7"/>
    <w:multiLevelType w:val="multilevel"/>
    <w:tmpl w:val="A308DD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35979"/>
    <w:multiLevelType w:val="multilevel"/>
    <w:tmpl w:val="C84497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66D6B"/>
    <w:multiLevelType w:val="multilevel"/>
    <w:tmpl w:val="DEB0A5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D3D41"/>
    <w:multiLevelType w:val="hybridMultilevel"/>
    <w:tmpl w:val="CB2CEDC0"/>
    <w:lvl w:ilvl="0" w:tplc="8D8824C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grammar="clean"/>
  <w:stylePaneFormatFilter w:val="3F01"/>
  <w:defaultTabStop w:val="284"/>
  <w:autoHyphenation/>
  <w:hyphenationZone w:val="280"/>
  <w:drawingGridHorizontalSpacing w:val="110"/>
  <w:drawingGridVerticalSpacing w:val="299"/>
  <w:displayHorizontalDrawingGridEvery w:val="2"/>
  <w:noPunctuationKerning/>
  <w:characterSpacingControl w:val="doNotCompress"/>
  <w:compat/>
  <w:rsids>
    <w:rsidRoot w:val="00104FDA"/>
    <w:rsid w:val="00001A74"/>
    <w:rsid w:val="0000215F"/>
    <w:rsid w:val="00006236"/>
    <w:rsid w:val="00007745"/>
    <w:rsid w:val="00011F11"/>
    <w:rsid w:val="00013A4D"/>
    <w:rsid w:val="00015EBC"/>
    <w:rsid w:val="00031C80"/>
    <w:rsid w:val="00032DFF"/>
    <w:rsid w:val="00033A7A"/>
    <w:rsid w:val="00034AA2"/>
    <w:rsid w:val="00044529"/>
    <w:rsid w:val="000651F1"/>
    <w:rsid w:val="00070E28"/>
    <w:rsid w:val="00074F6A"/>
    <w:rsid w:val="00080782"/>
    <w:rsid w:val="000879A2"/>
    <w:rsid w:val="000934F1"/>
    <w:rsid w:val="000953D9"/>
    <w:rsid w:val="000B0BD6"/>
    <w:rsid w:val="000B3961"/>
    <w:rsid w:val="000B5065"/>
    <w:rsid w:val="000C20C1"/>
    <w:rsid w:val="000C23CD"/>
    <w:rsid w:val="000C6CB5"/>
    <w:rsid w:val="000D5EE3"/>
    <w:rsid w:val="000E09EF"/>
    <w:rsid w:val="000E11FD"/>
    <w:rsid w:val="000E31ED"/>
    <w:rsid w:val="000E696C"/>
    <w:rsid w:val="000E7641"/>
    <w:rsid w:val="00104FDA"/>
    <w:rsid w:val="0010578F"/>
    <w:rsid w:val="00110FBB"/>
    <w:rsid w:val="001140C7"/>
    <w:rsid w:val="001141EA"/>
    <w:rsid w:val="00120A9C"/>
    <w:rsid w:val="0012378E"/>
    <w:rsid w:val="001272CB"/>
    <w:rsid w:val="00130A84"/>
    <w:rsid w:val="00132211"/>
    <w:rsid w:val="00132276"/>
    <w:rsid w:val="00132E88"/>
    <w:rsid w:val="0013782A"/>
    <w:rsid w:val="0015191A"/>
    <w:rsid w:val="001525F3"/>
    <w:rsid w:val="001537B7"/>
    <w:rsid w:val="00157B73"/>
    <w:rsid w:val="00160C8C"/>
    <w:rsid w:val="00163972"/>
    <w:rsid w:val="0016499B"/>
    <w:rsid w:val="00167446"/>
    <w:rsid w:val="001674A1"/>
    <w:rsid w:val="00171986"/>
    <w:rsid w:val="001810C6"/>
    <w:rsid w:val="00183610"/>
    <w:rsid w:val="00187364"/>
    <w:rsid w:val="00194557"/>
    <w:rsid w:val="001A330B"/>
    <w:rsid w:val="001B03FE"/>
    <w:rsid w:val="001B18FF"/>
    <w:rsid w:val="001B49DD"/>
    <w:rsid w:val="001C3C73"/>
    <w:rsid w:val="001D388C"/>
    <w:rsid w:val="001D70E1"/>
    <w:rsid w:val="001D780C"/>
    <w:rsid w:val="001E0569"/>
    <w:rsid w:val="001E428C"/>
    <w:rsid w:val="001E5F12"/>
    <w:rsid w:val="001F3313"/>
    <w:rsid w:val="001F514D"/>
    <w:rsid w:val="00206B58"/>
    <w:rsid w:val="002109E4"/>
    <w:rsid w:val="00221329"/>
    <w:rsid w:val="00226E01"/>
    <w:rsid w:val="00230635"/>
    <w:rsid w:val="00231CFC"/>
    <w:rsid w:val="00240381"/>
    <w:rsid w:val="002426DE"/>
    <w:rsid w:val="00243C1B"/>
    <w:rsid w:val="00253DE4"/>
    <w:rsid w:val="00255B68"/>
    <w:rsid w:val="00260CCF"/>
    <w:rsid w:val="00261389"/>
    <w:rsid w:val="002625C8"/>
    <w:rsid w:val="002669E5"/>
    <w:rsid w:val="00273FCA"/>
    <w:rsid w:val="00274294"/>
    <w:rsid w:val="0027668C"/>
    <w:rsid w:val="00280448"/>
    <w:rsid w:val="00280755"/>
    <w:rsid w:val="00280EC3"/>
    <w:rsid w:val="002813DE"/>
    <w:rsid w:val="00284CF6"/>
    <w:rsid w:val="00294235"/>
    <w:rsid w:val="00294F94"/>
    <w:rsid w:val="00296B75"/>
    <w:rsid w:val="0029780C"/>
    <w:rsid w:val="002A62DC"/>
    <w:rsid w:val="002A73C3"/>
    <w:rsid w:val="002A7C0C"/>
    <w:rsid w:val="002B5E19"/>
    <w:rsid w:val="002C090C"/>
    <w:rsid w:val="002C5AFE"/>
    <w:rsid w:val="002C6344"/>
    <w:rsid w:val="002D5D0F"/>
    <w:rsid w:val="002D5F83"/>
    <w:rsid w:val="002D65C5"/>
    <w:rsid w:val="002D6634"/>
    <w:rsid w:val="002E2A66"/>
    <w:rsid w:val="002E70A5"/>
    <w:rsid w:val="002E7C22"/>
    <w:rsid w:val="002F3292"/>
    <w:rsid w:val="003001C6"/>
    <w:rsid w:val="00300E23"/>
    <w:rsid w:val="00304237"/>
    <w:rsid w:val="00304CD0"/>
    <w:rsid w:val="00321864"/>
    <w:rsid w:val="00321A52"/>
    <w:rsid w:val="00322485"/>
    <w:rsid w:val="003226B5"/>
    <w:rsid w:val="003259F1"/>
    <w:rsid w:val="00325CE4"/>
    <w:rsid w:val="003271CD"/>
    <w:rsid w:val="00330784"/>
    <w:rsid w:val="00337C5A"/>
    <w:rsid w:val="00343783"/>
    <w:rsid w:val="00363A19"/>
    <w:rsid w:val="00366A1D"/>
    <w:rsid w:val="00375766"/>
    <w:rsid w:val="003767A4"/>
    <w:rsid w:val="003827EF"/>
    <w:rsid w:val="003962D5"/>
    <w:rsid w:val="003979AF"/>
    <w:rsid w:val="003A2B9F"/>
    <w:rsid w:val="003B39D0"/>
    <w:rsid w:val="003D7443"/>
    <w:rsid w:val="003D7B71"/>
    <w:rsid w:val="003E6526"/>
    <w:rsid w:val="003E6602"/>
    <w:rsid w:val="003F1263"/>
    <w:rsid w:val="003F158A"/>
    <w:rsid w:val="003F336F"/>
    <w:rsid w:val="003F38E7"/>
    <w:rsid w:val="0040020A"/>
    <w:rsid w:val="00403DCD"/>
    <w:rsid w:val="004070DE"/>
    <w:rsid w:val="00410F8B"/>
    <w:rsid w:val="0041179E"/>
    <w:rsid w:val="00412892"/>
    <w:rsid w:val="00422ED1"/>
    <w:rsid w:val="00430B47"/>
    <w:rsid w:val="00440301"/>
    <w:rsid w:val="004414E9"/>
    <w:rsid w:val="00454053"/>
    <w:rsid w:val="00456C38"/>
    <w:rsid w:val="00465505"/>
    <w:rsid w:val="00467024"/>
    <w:rsid w:val="00471175"/>
    <w:rsid w:val="00472E4D"/>
    <w:rsid w:val="004822EE"/>
    <w:rsid w:val="00482FA6"/>
    <w:rsid w:val="00486CE2"/>
    <w:rsid w:val="004912F4"/>
    <w:rsid w:val="00496104"/>
    <w:rsid w:val="004A2EAF"/>
    <w:rsid w:val="004A5982"/>
    <w:rsid w:val="004B4F9C"/>
    <w:rsid w:val="004B54D3"/>
    <w:rsid w:val="004C34FB"/>
    <w:rsid w:val="004C4409"/>
    <w:rsid w:val="004C61AA"/>
    <w:rsid w:val="004C63B7"/>
    <w:rsid w:val="004C671C"/>
    <w:rsid w:val="004C759E"/>
    <w:rsid w:val="004D1006"/>
    <w:rsid w:val="004D31B8"/>
    <w:rsid w:val="004D7626"/>
    <w:rsid w:val="004D76B2"/>
    <w:rsid w:val="004F323E"/>
    <w:rsid w:val="004F7B4D"/>
    <w:rsid w:val="00507E91"/>
    <w:rsid w:val="00513CE7"/>
    <w:rsid w:val="00515217"/>
    <w:rsid w:val="005226F0"/>
    <w:rsid w:val="00522DD0"/>
    <w:rsid w:val="00527D37"/>
    <w:rsid w:val="00535CD0"/>
    <w:rsid w:val="00540D6A"/>
    <w:rsid w:val="00541EEE"/>
    <w:rsid w:val="00556CB8"/>
    <w:rsid w:val="00563A35"/>
    <w:rsid w:val="005646DE"/>
    <w:rsid w:val="00566744"/>
    <w:rsid w:val="00572B75"/>
    <w:rsid w:val="00577AF7"/>
    <w:rsid w:val="00580B79"/>
    <w:rsid w:val="00585060"/>
    <w:rsid w:val="00597DB1"/>
    <w:rsid w:val="005A1FED"/>
    <w:rsid w:val="005A6E22"/>
    <w:rsid w:val="005B6028"/>
    <w:rsid w:val="005B700A"/>
    <w:rsid w:val="005C4D11"/>
    <w:rsid w:val="005D096C"/>
    <w:rsid w:val="005D3C88"/>
    <w:rsid w:val="005D7C46"/>
    <w:rsid w:val="005E05ED"/>
    <w:rsid w:val="005E0DBA"/>
    <w:rsid w:val="005F0234"/>
    <w:rsid w:val="00603B2B"/>
    <w:rsid w:val="0061073C"/>
    <w:rsid w:val="00612222"/>
    <w:rsid w:val="00615FE4"/>
    <w:rsid w:val="00620053"/>
    <w:rsid w:val="00622A4B"/>
    <w:rsid w:val="006260B4"/>
    <w:rsid w:val="00627290"/>
    <w:rsid w:val="00632BE1"/>
    <w:rsid w:val="00634E70"/>
    <w:rsid w:val="00644A41"/>
    <w:rsid w:val="006516B3"/>
    <w:rsid w:val="00651B1E"/>
    <w:rsid w:val="00652100"/>
    <w:rsid w:val="00654614"/>
    <w:rsid w:val="006608B1"/>
    <w:rsid w:val="00667CD1"/>
    <w:rsid w:val="006729C4"/>
    <w:rsid w:val="00672F36"/>
    <w:rsid w:val="00674AD8"/>
    <w:rsid w:val="006808DB"/>
    <w:rsid w:val="00693939"/>
    <w:rsid w:val="006975E0"/>
    <w:rsid w:val="006A35A0"/>
    <w:rsid w:val="006A4A0A"/>
    <w:rsid w:val="006A5101"/>
    <w:rsid w:val="006A5FCF"/>
    <w:rsid w:val="006A655B"/>
    <w:rsid w:val="006C136C"/>
    <w:rsid w:val="006C1D2D"/>
    <w:rsid w:val="006C26AA"/>
    <w:rsid w:val="006C3A6D"/>
    <w:rsid w:val="006C57CF"/>
    <w:rsid w:val="006C6734"/>
    <w:rsid w:val="006D60EB"/>
    <w:rsid w:val="006F0427"/>
    <w:rsid w:val="006F1358"/>
    <w:rsid w:val="007035B8"/>
    <w:rsid w:val="00705631"/>
    <w:rsid w:val="00712466"/>
    <w:rsid w:val="00723145"/>
    <w:rsid w:val="00725D3D"/>
    <w:rsid w:val="00731457"/>
    <w:rsid w:val="00732453"/>
    <w:rsid w:val="00734495"/>
    <w:rsid w:val="00735309"/>
    <w:rsid w:val="00740C2B"/>
    <w:rsid w:val="00740F60"/>
    <w:rsid w:val="007459F8"/>
    <w:rsid w:val="00752104"/>
    <w:rsid w:val="00754902"/>
    <w:rsid w:val="007636E7"/>
    <w:rsid w:val="00764144"/>
    <w:rsid w:val="00764240"/>
    <w:rsid w:val="00766242"/>
    <w:rsid w:val="00772F71"/>
    <w:rsid w:val="007752AC"/>
    <w:rsid w:val="007759A4"/>
    <w:rsid w:val="00782276"/>
    <w:rsid w:val="00785EE5"/>
    <w:rsid w:val="00791116"/>
    <w:rsid w:val="007957E0"/>
    <w:rsid w:val="00797B6B"/>
    <w:rsid w:val="007A3720"/>
    <w:rsid w:val="007B27CD"/>
    <w:rsid w:val="007B32FA"/>
    <w:rsid w:val="007B4CF0"/>
    <w:rsid w:val="007C5C38"/>
    <w:rsid w:val="007E0F01"/>
    <w:rsid w:val="007E1C27"/>
    <w:rsid w:val="007F0473"/>
    <w:rsid w:val="007F47A7"/>
    <w:rsid w:val="00802E58"/>
    <w:rsid w:val="0080409A"/>
    <w:rsid w:val="0081072A"/>
    <w:rsid w:val="008130DA"/>
    <w:rsid w:val="00815B20"/>
    <w:rsid w:val="008213C6"/>
    <w:rsid w:val="00822585"/>
    <w:rsid w:val="008227AC"/>
    <w:rsid w:val="00823E9E"/>
    <w:rsid w:val="0082467E"/>
    <w:rsid w:val="00841548"/>
    <w:rsid w:val="008421C6"/>
    <w:rsid w:val="00844BD3"/>
    <w:rsid w:val="00845826"/>
    <w:rsid w:val="00846978"/>
    <w:rsid w:val="00847D1C"/>
    <w:rsid w:val="00860369"/>
    <w:rsid w:val="00860CBD"/>
    <w:rsid w:val="00864368"/>
    <w:rsid w:val="0086595F"/>
    <w:rsid w:val="008700D5"/>
    <w:rsid w:val="00871E14"/>
    <w:rsid w:val="008726D1"/>
    <w:rsid w:val="008765BD"/>
    <w:rsid w:val="00877F0B"/>
    <w:rsid w:val="0088227A"/>
    <w:rsid w:val="008878BD"/>
    <w:rsid w:val="0089307F"/>
    <w:rsid w:val="00893EC7"/>
    <w:rsid w:val="008A1B49"/>
    <w:rsid w:val="008A6B2A"/>
    <w:rsid w:val="008B02E3"/>
    <w:rsid w:val="008B1AFF"/>
    <w:rsid w:val="008B2257"/>
    <w:rsid w:val="008B2390"/>
    <w:rsid w:val="008C1856"/>
    <w:rsid w:val="008C1887"/>
    <w:rsid w:val="008C6C57"/>
    <w:rsid w:val="008D0097"/>
    <w:rsid w:val="008D016A"/>
    <w:rsid w:val="008D3FD8"/>
    <w:rsid w:val="008D77AB"/>
    <w:rsid w:val="008E60BD"/>
    <w:rsid w:val="008E7162"/>
    <w:rsid w:val="008E78A7"/>
    <w:rsid w:val="008F0BBD"/>
    <w:rsid w:val="008F3F64"/>
    <w:rsid w:val="009043A4"/>
    <w:rsid w:val="009057CD"/>
    <w:rsid w:val="00906D95"/>
    <w:rsid w:val="009212B5"/>
    <w:rsid w:val="00934AFF"/>
    <w:rsid w:val="00937B5E"/>
    <w:rsid w:val="009427DD"/>
    <w:rsid w:val="00942B48"/>
    <w:rsid w:val="00946F9D"/>
    <w:rsid w:val="00956ECB"/>
    <w:rsid w:val="00963AC8"/>
    <w:rsid w:val="00965CDD"/>
    <w:rsid w:val="00965DE6"/>
    <w:rsid w:val="00975724"/>
    <w:rsid w:val="009774A1"/>
    <w:rsid w:val="00981108"/>
    <w:rsid w:val="009862FE"/>
    <w:rsid w:val="0099537D"/>
    <w:rsid w:val="009975C5"/>
    <w:rsid w:val="009A005A"/>
    <w:rsid w:val="009A02C4"/>
    <w:rsid w:val="009A450C"/>
    <w:rsid w:val="009A7430"/>
    <w:rsid w:val="009B4433"/>
    <w:rsid w:val="009C1B11"/>
    <w:rsid w:val="009C32F8"/>
    <w:rsid w:val="009D15C1"/>
    <w:rsid w:val="009D6C99"/>
    <w:rsid w:val="009E7680"/>
    <w:rsid w:val="009E77C0"/>
    <w:rsid w:val="009F2F48"/>
    <w:rsid w:val="009F3849"/>
    <w:rsid w:val="00A0081E"/>
    <w:rsid w:val="00A05197"/>
    <w:rsid w:val="00A1116C"/>
    <w:rsid w:val="00A12A43"/>
    <w:rsid w:val="00A156C6"/>
    <w:rsid w:val="00A15AE5"/>
    <w:rsid w:val="00A20190"/>
    <w:rsid w:val="00A201D6"/>
    <w:rsid w:val="00A20B4D"/>
    <w:rsid w:val="00A267B2"/>
    <w:rsid w:val="00A37445"/>
    <w:rsid w:val="00A43A3C"/>
    <w:rsid w:val="00A511AF"/>
    <w:rsid w:val="00A51F23"/>
    <w:rsid w:val="00A525DD"/>
    <w:rsid w:val="00A52EC6"/>
    <w:rsid w:val="00A53F07"/>
    <w:rsid w:val="00A610A6"/>
    <w:rsid w:val="00A62D9A"/>
    <w:rsid w:val="00A6701E"/>
    <w:rsid w:val="00A72807"/>
    <w:rsid w:val="00A72D96"/>
    <w:rsid w:val="00A75865"/>
    <w:rsid w:val="00A80E55"/>
    <w:rsid w:val="00A8327E"/>
    <w:rsid w:val="00A84F89"/>
    <w:rsid w:val="00A8544F"/>
    <w:rsid w:val="00A859B7"/>
    <w:rsid w:val="00A92EEF"/>
    <w:rsid w:val="00AA17C0"/>
    <w:rsid w:val="00AA222D"/>
    <w:rsid w:val="00AA2D58"/>
    <w:rsid w:val="00AA69F8"/>
    <w:rsid w:val="00AB0FF1"/>
    <w:rsid w:val="00AB185D"/>
    <w:rsid w:val="00AB2683"/>
    <w:rsid w:val="00AB2AE3"/>
    <w:rsid w:val="00AB2B18"/>
    <w:rsid w:val="00AB2F88"/>
    <w:rsid w:val="00AC2F06"/>
    <w:rsid w:val="00AC6600"/>
    <w:rsid w:val="00AC66E5"/>
    <w:rsid w:val="00AE0DA4"/>
    <w:rsid w:val="00AE4CA6"/>
    <w:rsid w:val="00AF0491"/>
    <w:rsid w:val="00AF27BF"/>
    <w:rsid w:val="00AF63D7"/>
    <w:rsid w:val="00B049DF"/>
    <w:rsid w:val="00B05B76"/>
    <w:rsid w:val="00B06FBC"/>
    <w:rsid w:val="00B253C0"/>
    <w:rsid w:val="00B261D2"/>
    <w:rsid w:val="00B27A36"/>
    <w:rsid w:val="00B27FD3"/>
    <w:rsid w:val="00B33C68"/>
    <w:rsid w:val="00B75B5A"/>
    <w:rsid w:val="00B76043"/>
    <w:rsid w:val="00B8137A"/>
    <w:rsid w:val="00B81FAB"/>
    <w:rsid w:val="00B906A1"/>
    <w:rsid w:val="00B9108C"/>
    <w:rsid w:val="00BA3F0B"/>
    <w:rsid w:val="00BA7DF4"/>
    <w:rsid w:val="00BB107B"/>
    <w:rsid w:val="00BC18C5"/>
    <w:rsid w:val="00BC3BD9"/>
    <w:rsid w:val="00BC5CC6"/>
    <w:rsid w:val="00BD0441"/>
    <w:rsid w:val="00BD3489"/>
    <w:rsid w:val="00BE19A6"/>
    <w:rsid w:val="00BE3939"/>
    <w:rsid w:val="00BE4F45"/>
    <w:rsid w:val="00BF314C"/>
    <w:rsid w:val="00BF5E4D"/>
    <w:rsid w:val="00C00F65"/>
    <w:rsid w:val="00C01111"/>
    <w:rsid w:val="00C1236A"/>
    <w:rsid w:val="00C13B1E"/>
    <w:rsid w:val="00C266F6"/>
    <w:rsid w:val="00C3170F"/>
    <w:rsid w:val="00C34034"/>
    <w:rsid w:val="00C37055"/>
    <w:rsid w:val="00C4001B"/>
    <w:rsid w:val="00C4311E"/>
    <w:rsid w:val="00C43B9D"/>
    <w:rsid w:val="00C4686B"/>
    <w:rsid w:val="00C47616"/>
    <w:rsid w:val="00C539B5"/>
    <w:rsid w:val="00C55100"/>
    <w:rsid w:val="00C836C4"/>
    <w:rsid w:val="00C86580"/>
    <w:rsid w:val="00C91387"/>
    <w:rsid w:val="00C95756"/>
    <w:rsid w:val="00C97A7D"/>
    <w:rsid w:val="00CA3692"/>
    <w:rsid w:val="00CA75B0"/>
    <w:rsid w:val="00CB1C66"/>
    <w:rsid w:val="00CD2226"/>
    <w:rsid w:val="00CE077C"/>
    <w:rsid w:val="00CE26A5"/>
    <w:rsid w:val="00CF16A9"/>
    <w:rsid w:val="00D156C8"/>
    <w:rsid w:val="00D16CB2"/>
    <w:rsid w:val="00D20E6F"/>
    <w:rsid w:val="00D21863"/>
    <w:rsid w:val="00D2502A"/>
    <w:rsid w:val="00D335A8"/>
    <w:rsid w:val="00D33929"/>
    <w:rsid w:val="00D33E58"/>
    <w:rsid w:val="00D40FE2"/>
    <w:rsid w:val="00D4369E"/>
    <w:rsid w:val="00D56B9D"/>
    <w:rsid w:val="00D60A87"/>
    <w:rsid w:val="00D61DAD"/>
    <w:rsid w:val="00D62D4F"/>
    <w:rsid w:val="00D6699E"/>
    <w:rsid w:val="00D7059B"/>
    <w:rsid w:val="00D8136F"/>
    <w:rsid w:val="00D914D2"/>
    <w:rsid w:val="00D9575D"/>
    <w:rsid w:val="00DA208A"/>
    <w:rsid w:val="00DA6EDD"/>
    <w:rsid w:val="00DB14D4"/>
    <w:rsid w:val="00DB1AFA"/>
    <w:rsid w:val="00DB738B"/>
    <w:rsid w:val="00DD2C5E"/>
    <w:rsid w:val="00DD32CA"/>
    <w:rsid w:val="00DE1EA7"/>
    <w:rsid w:val="00DE5775"/>
    <w:rsid w:val="00DF4125"/>
    <w:rsid w:val="00DF6C79"/>
    <w:rsid w:val="00DF74CE"/>
    <w:rsid w:val="00E04BF5"/>
    <w:rsid w:val="00E050AC"/>
    <w:rsid w:val="00E10404"/>
    <w:rsid w:val="00E11ED8"/>
    <w:rsid w:val="00E13853"/>
    <w:rsid w:val="00E17779"/>
    <w:rsid w:val="00E20241"/>
    <w:rsid w:val="00E21392"/>
    <w:rsid w:val="00E26974"/>
    <w:rsid w:val="00E32BA3"/>
    <w:rsid w:val="00E5002F"/>
    <w:rsid w:val="00E50585"/>
    <w:rsid w:val="00E53FBA"/>
    <w:rsid w:val="00E54A42"/>
    <w:rsid w:val="00E5674F"/>
    <w:rsid w:val="00E56DE0"/>
    <w:rsid w:val="00E70922"/>
    <w:rsid w:val="00E7253F"/>
    <w:rsid w:val="00E73C82"/>
    <w:rsid w:val="00E7629A"/>
    <w:rsid w:val="00E76D00"/>
    <w:rsid w:val="00E85883"/>
    <w:rsid w:val="00E97263"/>
    <w:rsid w:val="00EA069F"/>
    <w:rsid w:val="00EA564B"/>
    <w:rsid w:val="00EB21E5"/>
    <w:rsid w:val="00EC71B8"/>
    <w:rsid w:val="00EC747F"/>
    <w:rsid w:val="00ED5A5A"/>
    <w:rsid w:val="00ED6E35"/>
    <w:rsid w:val="00EE03BB"/>
    <w:rsid w:val="00EE478B"/>
    <w:rsid w:val="00EE7690"/>
    <w:rsid w:val="00EF1C46"/>
    <w:rsid w:val="00EF2C83"/>
    <w:rsid w:val="00EF464D"/>
    <w:rsid w:val="00EF7F8C"/>
    <w:rsid w:val="00F00715"/>
    <w:rsid w:val="00F02151"/>
    <w:rsid w:val="00F15083"/>
    <w:rsid w:val="00F158FA"/>
    <w:rsid w:val="00F17E9C"/>
    <w:rsid w:val="00F23375"/>
    <w:rsid w:val="00F3787D"/>
    <w:rsid w:val="00F37A06"/>
    <w:rsid w:val="00F421A3"/>
    <w:rsid w:val="00F524FD"/>
    <w:rsid w:val="00F570CD"/>
    <w:rsid w:val="00F610A6"/>
    <w:rsid w:val="00F703A7"/>
    <w:rsid w:val="00F71AB1"/>
    <w:rsid w:val="00F7404D"/>
    <w:rsid w:val="00F87612"/>
    <w:rsid w:val="00F905E1"/>
    <w:rsid w:val="00F91154"/>
    <w:rsid w:val="00FA0962"/>
    <w:rsid w:val="00FA4AE5"/>
    <w:rsid w:val="00FB3AE8"/>
    <w:rsid w:val="00FC3093"/>
    <w:rsid w:val="00FC31A7"/>
    <w:rsid w:val="00FC65FD"/>
    <w:rsid w:val="00FD2310"/>
    <w:rsid w:val="00FD43BE"/>
    <w:rsid w:val="00FE4A81"/>
    <w:rsid w:val="00FE7B86"/>
    <w:rsid w:val="00FF2AF1"/>
    <w:rsid w:val="00FF3EC1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38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</w:rPr>
  </w:style>
  <w:style w:type="paragraph" w:styleId="Titolo1">
    <w:name w:val="heading 1"/>
    <w:basedOn w:val="Normale"/>
    <w:next w:val="Normale"/>
    <w:qFormat/>
    <w:rsid w:val="000D5EE3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autoRedefine/>
    <w:qFormat/>
    <w:rsid w:val="000D5EE3"/>
    <w:pPr>
      <w:widowControl w:val="0"/>
      <w:jc w:val="center"/>
      <w:outlineLvl w:val="1"/>
    </w:pPr>
    <w:rPr>
      <w:rFonts w:cs="Arial"/>
      <w:bCs/>
      <w:i/>
      <w:iCs/>
      <w:szCs w:val="28"/>
      <w:u w:val="single"/>
    </w:rPr>
  </w:style>
  <w:style w:type="paragraph" w:styleId="Titolo3">
    <w:name w:val="heading 3"/>
    <w:basedOn w:val="Normale"/>
    <w:next w:val="Normale"/>
    <w:qFormat/>
    <w:rsid w:val="000D5EE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496104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rial Unicode MS"/>
      <w:szCs w:val="24"/>
      <w:lang/>
    </w:rPr>
  </w:style>
  <w:style w:type="paragraph" w:styleId="Testonotaapidipagina">
    <w:name w:val="footnote text"/>
    <w:basedOn w:val="Normale"/>
    <w:semiHidden/>
    <w:rsid w:val="00496104"/>
    <w:pPr>
      <w:overflowPunct/>
      <w:autoSpaceDE/>
      <w:autoSpaceDN/>
      <w:adjustRightInd/>
      <w:textAlignment w:val="auto"/>
    </w:pPr>
    <w:rPr>
      <w:sz w:val="18"/>
    </w:rPr>
  </w:style>
  <w:style w:type="character" w:styleId="Enfasigrassetto">
    <w:name w:val="Strong"/>
    <w:basedOn w:val="Carpredefinitoparagrafo"/>
    <w:qFormat/>
    <w:rsid w:val="00070E28"/>
    <w:rPr>
      <w:b/>
      <w:bCs/>
    </w:rPr>
  </w:style>
  <w:style w:type="character" w:styleId="Enfasicorsivo">
    <w:name w:val="Emphasis"/>
    <w:basedOn w:val="Carpredefinitoparagrafo"/>
    <w:qFormat/>
    <w:rsid w:val="00070E28"/>
    <w:rPr>
      <w:i/>
      <w:iCs/>
    </w:rPr>
  </w:style>
  <w:style w:type="paragraph" w:styleId="Testofumetto">
    <w:name w:val="Balloon Text"/>
    <w:basedOn w:val="Normale"/>
    <w:link w:val="TestofumettoCarattere"/>
    <w:rsid w:val="00BE1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D95B5-EE6A-4CC5-A975-5E2372A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</dc:creator>
  <cp:lastModifiedBy>RIcccardo De Maria</cp:lastModifiedBy>
  <cp:revision>2</cp:revision>
  <cp:lastPrinted>2015-06-18T09:24:00Z</cp:lastPrinted>
  <dcterms:created xsi:type="dcterms:W3CDTF">2015-06-30T14:49:00Z</dcterms:created>
  <dcterms:modified xsi:type="dcterms:W3CDTF">2015-06-30T14:49:00Z</dcterms:modified>
</cp:coreProperties>
</file>